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BF19" w14:textId="49029D71" w:rsidR="00121EF0" w:rsidRPr="0038640A" w:rsidRDefault="0038640A" w:rsidP="007E4903">
      <w:pPr>
        <w:spacing w:before="120" w:after="120" w:line="240" w:lineRule="auto"/>
        <w:jc w:val="center"/>
        <w:rPr>
          <w:rFonts w:ascii="Times New Roman" w:hAnsi="Times New Roman" w:cs="Times New Roman"/>
          <w:b/>
        </w:rPr>
      </w:pPr>
      <w:r w:rsidRPr="0038640A">
        <w:rPr>
          <w:rFonts w:ascii="Times New Roman" w:hAnsi="Times New Roman" w:cs="Times New Roman"/>
          <w:b/>
        </w:rPr>
        <w:t>Summary Report on the Botswana Qualifications Authority (BQA)</w:t>
      </w:r>
      <w:r w:rsidR="0078687C">
        <w:rPr>
          <w:rFonts w:ascii="Times New Roman" w:hAnsi="Times New Roman" w:cs="Times New Roman"/>
          <w:b/>
        </w:rPr>
        <w:br/>
      </w:r>
      <w:r w:rsidRPr="0038640A">
        <w:rPr>
          <w:rFonts w:ascii="Times New Roman" w:hAnsi="Times New Roman" w:cs="Times New Roman"/>
          <w:b/>
        </w:rPr>
        <w:t>Stakeholder Engagement Workshops on</w:t>
      </w:r>
      <w:r w:rsidRPr="0038640A">
        <w:rPr>
          <w:rFonts w:ascii="Times New Roman" w:hAnsi="Times New Roman" w:cs="Times New Roman"/>
          <w:b/>
        </w:rPr>
        <w:br/>
        <w:t xml:space="preserve">The Roll-out of The National Credit </w:t>
      </w:r>
      <w:r w:rsidR="00831F14">
        <w:rPr>
          <w:rFonts w:ascii="Times New Roman" w:hAnsi="Times New Roman" w:cs="Times New Roman"/>
          <w:b/>
        </w:rPr>
        <w:t>a</w:t>
      </w:r>
      <w:r w:rsidRPr="0038640A">
        <w:rPr>
          <w:rFonts w:ascii="Times New Roman" w:hAnsi="Times New Roman" w:cs="Times New Roman"/>
          <w:b/>
        </w:rPr>
        <w:t xml:space="preserve">nd Qualifications Framework (NCQF) Policies: </w:t>
      </w:r>
      <w:r w:rsidRPr="0038640A">
        <w:rPr>
          <w:rFonts w:ascii="Times New Roman" w:hAnsi="Times New Roman" w:cs="Times New Roman"/>
          <w:b/>
        </w:rPr>
        <w:br/>
      </w:r>
      <w:r w:rsidR="00831F14">
        <w:rPr>
          <w:rFonts w:ascii="Times New Roman" w:hAnsi="Times New Roman" w:cs="Times New Roman"/>
          <w:b/>
        </w:rPr>
        <w:t>RPL</w:t>
      </w:r>
      <w:r w:rsidRPr="0038640A">
        <w:rPr>
          <w:rFonts w:ascii="Times New Roman" w:hAnsi="Times New Roman" w:cs="Times New Roman"/>
          <w:b/>
        </w:rPr>
        <w:t xml:space="preserve">, CATS and </w:t>
      </w:r>
      <w:r w:rsidR="00831F14">
        <w:rPr>
          <w:rFonts w:ascii="Times New Roman" w:hAnsi="Times New Roman" w:cs="Times New Roman"/>
          <w:b/>
        </w:rPr>
        <w:t>NQF</w:t>
      </w:r>
    </w:p>
    <w:p w14:paraId="63DBF57A" w14:textId="77777777" w:rsidR="00334A6F" w:rsidRDefault="00334A6F" w:rsidP="007E4903">
      <w:pPr>
        <w:spacing w:before="120" w:after="120" w:line="240" w:lineRule="auto"/>
        <w:jc w:val="center"/>
        <w:rPr>
          <w:rFonts w:ascii="Times New Roman" w:hAnsi="Times New Roman" w:cs="Times New Roman"/>
          <w:b/>
        </w:rPr>
      </w:pPr>
    </w:p>
    <w:p w14:paraId="6C3B221A" w14:textId="77777777" w:rsidR="00831F14" w:rsidRPr="0038640A" w:rsidRDefault="00831F14" w:rsidP="007E4903">
      <w:pPr>
        <w:spacing w:before="120" w:after="120" w:line="240" w:lineRule="auto"/>
        <w:jc w:val="center"/>
        <w:rPr>
          <w:rFonts w:ascii="Times New Roman" w:hAnsi="Times New Roman" w:cs="Times New Roman"/>
          <w:b/>
        </w:rPr>
      </w:pPr>
    </w:p>
    <w:p w14:paraId="441DF98B" w14:textId="54BA2C75" w:rsidR="0038640A" w:rsidRDefault="0038640A" w:rsidP="007E4903">
      <w:pPr>
        <w:spacing w:before="120" w:after="120" w:line="240" w:lineRule="auto"/>
        <w:jc w:val="both"/>
        <w:rPr>
          <w:rFonts w:ascii="Times New Roman" w:hAnsi="Times New Roman" w:cs="Times New Roman"/>
          <w:bCs/>
        </w:rPr>
      </w:pPr>
      <w:r w:rsidRPr="0038640A">
        <w:rPr>
          <w:rFonts w:ascii="Times New Roman" w:hAnsi="Times New Roman" w:cs="Times New Roman"/>
          <w:bCs/>
        </w:rPr>
        <w:t>From the 9</w:t>
      </w:r>
      <w:r w:rsidRPr="0038640A">
        <w:rPr>
          <w:rFonts w:ascii="Times New Roman" w:hAnsi="Times New Roman" w:cs="Times New Roman"/>
          <w:bCs/>
          <w:vertAlign w:val="superscript"/>
        </w:rPr>
        <w:t>th</w:t>
      </w:r>
      <w:r w:rsidRPr="0038640A">
        <w:rPr>
          <w:rFonts w:ascii="Times New Roman" w:hAnsi="Times New Roman" w:cs="Times New Roman"/>
          <w:bCs/>
        </w:rPr>
        <w:t xml:space="preserve"> of February to the 20</w:t>
      </w:r>
      <w:r w:rsidRPr="0038640A">
        <w:rPr>
          <w:rFonts w:ascii="Times New Roman" w:hAnsi="Times New Roman" w:cs="Times New Roman"/>
          <w:bCs/>
          <w:vertAlign w:val="superscript"/>
        </w:rPr>
        <w:t>th</w:t>
      </w:r>
      <w:r w:rsidRPr="0038640A">
        <w:rPr>
          <w:rFonts w:ascii="Times New Roman" w:hAnsi="Times New Roman" w:cs="Times New Roman"/>
          <w:bCs/>
        </w:rPr>
        <w:t xml:space="preserve"> of March </w:t>
      </w:r>
      <w:r w:rsidR="0078687C">
        <w:rPr>
          <w:rFonts w:ascii="Times New Roman" w:hAnsi="Times New Roman" w:cs="Times New Roman"/>
          <w:bCs/>
        </w:rPr>
        <w:t xml:space="preserve">2026, </w:t>
      </w:r>
      <w:r w:rsidRPr="0038640A">
        <w:rPr>
          <w:rFonts w:ascii="Times New Roman" w:hAnsi="Times New Roman" w:cs="Times New Roman"/>
          <w:bCs/>
        </w:rPr>
        <w:t xml:space="preserve">three ACQF II experts </w:t>
      </w:r>
      <w:r>
        <w:rPr>
          <w:rFonts w:ascii="Times New Roman" w:hAnsi="Times New Roman" w:cs="Times New Roman"/>
          <w:bCs/>
        </w:rPr>
        <w:t>were invited to build capacities for different groups of stakeholders in Botswana at the invitation of the Botswana Qualifications Authority (BQA)</w:t>
      </w:r>
      <w:r w:rsidR="00367CDA">
        <w:rPr>
          <w:rFonts w:ascii="Times New Roman" w:hAnsi="Times New Roman" w:cs="Times New Roman"/>
          <w:bCs/>
        </w:rPr>
        <w:t>:</w:t>
      </w:r>
    </w:p>
    <w:p w14:paraId="5F721253" w14:textId="767A844C" w:rsidR="00367CDA" w:rsidRDefault="00367CDA" w:rsidP="007E4903">
      <w:pPr>
        <w:pStyle w:val="ListParagraph"/>
        <w:numPr>
          <w:ilvl w:val="0"/>
          <w:numId w:val="3"/>
        </w:numPr>
        <w:spacing w:before="120" w:after="120" w:line="240" w:lineRule="auto"/>
        <w:contextualSpacing w:val="0"/>
        <w:jc w:val="both"/>
        <w:rPr>
          <w:rFonts w:ascii="Times New Roman" w:hAnsi="Times New Roman" w:cs="Times New Roman"/>
          <w:bCs/>
        </w:rPr>
      </w:pPr>
      <w:r>
        <w:rPr>
          <w:rFonts w:ascii="Times New Roman" w:hAnsi="Times New Roman" w:cs="Times New Roman"/>
          <w:bCs/>
        </w:rPr>
        <w:t>James Mwaewa (CATS)</w:t>
      </w:r>
    </w:p>
    <w:p w14:paraId="162BE434" w14:textId="46E62E63" w:rsidR="00367CDA" w:rsidRDefault="00367CDA" w:rsidP="007E4903">
      <w:pPr>
        <w:pStyle w:val="ListParagraph"/>
        <w:numPr>
          <w:ilvl w:val="0"/>
          <w:numId w:val="3"/>
        </w:numPr>
        <w:spacing w:before="120" w:after="120" w:line="240" w:lineRule="auto"/>
        <w:contextualSpacing w:val="0"/>
        <w:jc w:val="both"/>
        <w:rPr>
          <w:rFonts w:ascii="Times New Roman" w:hAnsi="Times New Roman" w:cs="Times New Roman"/>
          <w:bCs/>
        </w:rPr>
      </w:pPr>
      <w:r>
        <w:rPr>
          <w:rFonts w:ascii="Times New Roman" w:hAnsi="Times New Roman" w:cs="Times New Roman"/>
          <w:bCs/>
        </w:rPr>
        <w:t>R</w:t>
      </w:r>
      <w:r w:rsidRPr="00367CDA">
        <w:rPr>
          <w:rFonts w:ascii="Times New Roman" w:hAnsi="Times New Roman" w:cs="Times New Roman"/>
          <w:bCs/>
        </w:rPr>
        <w:t>obin</w:t>
      </w:r>
      <w:r>
        <w:rPr>
          <w:rFonts w:ascii="Times New Roman" w:hAnsi="Times New Roman" w:cs="Times New Roman"/>
          <w:bCs/>
        </w:rPr>
        <w:t xml:space="preserve"> P</w:t>
      </w:r>
      <w:r w:rsidRPr="00367CDA">
        <w:rPr>
          <w:rFonts w:ascii="Times New Roman" w:hAnsi="Times New Roman" w:cs="Times New Roman"/>
          <w:bCs/>
        </w:rPr>
        <w:t>hoolchund</w:t>
      </w:r>
      <w:r>
        <w:rPr>
          <w:rFonts w:ascii="Times New Roman" w:hAnsi="Times New Roman" w:cs="Times New Roman"/>
          <w:bCs/>
        </w:rPr>
        <w:t xml:space="preserve"> (NQF)</w:t>
      </w:r>
    </w:p>
    <w:p w14:paraId="05042C57" w14:textId="7ABD3281" w:rsidR="00367CDA" w:rsidRPr="00367CDA" w:rsidRDefault="00367CDA" w:rsidP="007E4903">
      <w:pPr>
        <w:pStyle w:val="ListParagraph"/>
        <w:numPr>
          <w:ilvl w:val="0"/>
          <w:numId w:val="3"/>
        </w:numPr>
        <w:spacing w:before="120" w:after="120" w:line="240" w:lineRule="auto"/>
        <w:contextualSpacing w:val="0"/>
        <w:jc w:val="both"/>
        <w:rPr>
          <w:rFonts w:ascii="Times New Roman" w:hAnsi="Times New Roman" w:cs="Times New Roman"/>
          <w:bCs/>
        </w:rPr>
      </w:pPr>
      <w:r>
        <w:rPr>
          <w:rFonts w:ascii="Times New Roman" w:hAnsi="Times New Roman" w:cs="Times New Roman"/>
          <w:bCs/>
        </w:rPr>
        <w:t>Patrick Werquin (RPL)</w:t>
      </w:r>
    </w:p>
    <w:p w14:paraId="118F73A8" w14:textId="77777777" w:rsidR="00367CDA" w:rsidRDefault="00367CDA" w:rsidP="007E4903">
      <w:pPr>
        <w:spacing w:before="120" w:after="120" w:line="240" w:lineRule="auto"/>
        <w:jc w:val="both"/>
        <w:rPr>
          <w:rFonts w:ascii="Times New Roman" w:hAnsi="Times New Roman" w:cs="Times New Roman"/>
          <w:bCs/>
        </w:rPr>
      </w:pPr>
    </w:p>
    <w:p w14:paraId="11226DC9" w14:textId="615B95D2" w:rsidR="0038640A" w:rsidRDefault="0038640A" w:rsidP="007E4903">
      <w:pPr>
        <w:spacing w:before="120" w:after="120" w:line="240" w:lineRule="auto"/>
        <w:jc w:val="both"/>
        <w:rPr>
          <w:rFonts w:ascii="Times New Roman" w:hAnsi="Times New Roman" w:cs="Times New Roman"/>
          <w:bCs/>
        </w:rPr>
      </w:pPr>
      <w:r>
        <w:rPr>
          <w:rFonts w:ascii="Times New Roman" w:hAnsi="Times New Roman" w:cs="Times New Roman"/>
          <w:bCs/>
        </w:rPr>
        <w:t xml:space="preserve">The ACQF II experts were on line, and most of the participants in Botswana were </w:t>
      </w:r>
      <w:r w:rsidR="00831F14">
        <w:rPr>
          <w:rFonts w:ascii="Times New Roman" w:hAnsi="Times New Roman" w:cs="Times New Roman"/>
          <w:bCs/>
        </w:rPr>
        <w:t>present in person (with a few exceptions).</w:t>
      </w:r>
    </w:p>
    <w:p w14:paraId="43021708" w14:textId="77777777" w:rsidR="0078687C" w:rsidRDefault="0078687C" w:rsidP="007E4903">
      <w:pPr>
        <w:spacing w:before="120" w:after="120" w:line="240" w:lineRule="auto"/>
        <w:jc w:val="both"/>
        <w:rPr>
          <w:rFonts w:ascii="Times New Roman" w:hAnsi="Times New Roman" w:cs="Times New Roman"/>
          <w:bCs/>
        </w:rPr>
      </w:pPr>
    </w:p>
    <w:p w14:paraId="727C9BD5" w14:textId="16FB7E33" w:rsidR="00831F14" w:rsidRDefault="00831F14" w:rsidP="007E4903">
      <w:pPr>
        <w:spacing w:before="120" w:after="120" w:line="240" w:lineRule="auto"/>
        <w:jc w:val="both"/>
        <w:rPr>
          <w:rFonts w:ascii="Times New Roman" w:hAnsi="Times New Roman" w:cs="Times New Roman"/>
          <w:bCs/>
        </w:rPr>
      </w:pPr>
      <w:r>
        <w:rPr>
          <w:rFonts w:ascii="Times New Roman" w:hAnsi="Times New Roman" w:cs="Times New Roman"/>
          <w:bCs/>
        </w:rPr>
        <w:t>In a typical week, the first day was devoted to recognition of prior learning (RPL), the second to Credit Accumulation and Transfer System (CATS) and the third to national qualifications framework (NQF) and referencing of a national qualifications framework to a meta framework (here the ACQF)</w:t>
      </w:r>
      <w:r w:rsidR="00515CF5">
        <w:rPr>
          <w:rFonts w:ascii="Times New Roman" w:hAnsi="Times New Roman" w:cs="Times New Roman"/>
          <w:bCs/>
        </w:rPr>
        <w:t>. So there was a total of 15 days of capacity building for five groups of stakeholders (Table 1)</w:t>
      </w:r>
      <w:r w:rsidR="007E4903">
        <w:rPr>
          <w:rFonts w:ascii="Times New Roman" w:hAnsi="Times New Roman" w:cs="Times New Roman"/>
          <w:bCs/>
        </w:rPr>
        <w:t>; for a total of 344 attendees (on line or on site) over the five weeks.</w:t>
      </w:r>
    </w:p>
    <w:p w14:paraId="4A051AF7" w14:textId="77777777" w:rsidR="0078687C" w:rsidRDefault="0078687C" w:rsidP="007E4903">
      <w:pPr>
        <w:spacing w:before="120" w:after="120" w:line="240" w:lineRule="auto"/>
        <w:jc w:val="both"/>
        <w:rPr>
          <w:rFonts w:ascii="Times New Roman" w:hAnsi="Times New Roman" w:cs="Times New Roman"/>
          <w:bCs/>
        </w:rPr>
      </w:pPr>
    </w:p>
    <w:p w14:paraId="2B4A0553" w14:textId="0B08F465" w:rsidR="0078687C" w:rsidRDefault="0078687C" w:rsidP="007E4903">
      <w:pPr>
        <w:spacing w:before="120" w:after="120" w:line="240" w:lineRule="auto"/>
        <w:jc w:val="both"/>
        <w:rPr>
          <w:rFonts w:ascii="Times New Roman" w:hAnsi="Times New Roman" w:cs="Times New Roman"/>
          <w:bCs/>
        </w:rPr>
      </w:pPr>
      <w:r>
        <w:rPr>
          <w:rFonts w:ascii="Times New Roman" w:hAnsi="Times New Roman" w:cs="Times New Roman"/>
          <w:bCs/>
        </w:rPr>
        <w:t>The content of the sessions can be summarised as follows:</w:t>
      </w:r>
    </w:p>
    <w:p w14:paraId="2828EB17" w14:textId="77777777" w:rsidR="00831F14" w:rsidRDefault="00831F14" w:rsidP="007E4903">
      <w:pPr>
        <w:spacing w:before="120" w:after="120" w:line="240" w:lineRule="auto"/>
        <w:jc w:val="both"/>
        <w:rPr>
          <w:rFonts w:ascii="Times New Roman" w:hAnsi="Times New Roman" w:cs="Times New Roman"/>
          <w:bCs/>
        </w:rPr>
      </w:pPr>
    </w:p>
    <w:p w14:paraId="121675E9" w14:textId="772D2322" w:rsidR="00367CDA" w:rsidRPr="0078687C" w:rsidRDefault="00367CDA" w:rsidP="007E4903">
      <w:pPr>
        <w:spacing w:before="120" w:after="120" w:line="240" w:lineRule="auto"/>
        <w:jc w:val="both"/>
        <w:rPr>
          <w:rFonts w:ascii="Times New Roman" w:hAnsi="Times New Roman" w:cs="Times New Roman"/>
          <w:b/>
        </w:rPr>
      </w:pPr>
      <w:r w:rsidRPr="0078687C">
        <w:rPr>
          <w:rFonts w:ascii="Times New Roman" w:hAnsi="Times New Roman" w:cs="Times New Roman"/>
          <w:b/>
        </w:rPr>
        <w:t>Recognition of prior learning (RPL)</w:t>
      </w:r>
    </w:p>
    <w:p w14:paraId="1606B37F" w14:textId="41CA0399" w:rsidR="007E4903" w:rsidRPr="007E4903" w:rsidRDefault="007E4903" w:rsidP="007E4903">
      <w:pPr>
        <w:spacing w:before="120" w:after="120" w:line="240" w:lineRule="auto"/>
        <w:jc w:val="both"/>
        <w:rPr>
          <w:rFonts w:ascii="Times New Roman" w:hAnsi="Times New Roman" w:cs="Times New Roman"/>
          <w:bCs/>
        </w:rPr>
      </w:pPr>
      <w:r>
        <w:rPr>
          <w:rFonts w:ascii="Times New Roman" w:hAnsi="Times New Roman" w:cs="Times New Roman"/>
          <w:bCs/>
        </w:rPr>
        <w:t>The session s</w:t>
      </w:r>
      <w:r w:rsidRPr="007E4903">
        <w:rPr>
          <w:rFonts w:ascii="Times New Roman" w:hAnsi="Times New Roman" w:cs="Times New Roman"/>
          <w:bCs/>
        </w:rPr>
        <w:t>tarts by clarifying the core concepts</w:t>
      </w:r>
      <w:r>
        <w:rPr>
          <w:rFonts w:ascii="Times New Roman" w:hAnsi="Times New Roman" w:cs="Times New Roman"/>
          <w:bCs/>
        </w:rPr>
        <w:t>. I</w:t>
      </w:r>
      <w:r w:rsidRPr="007E4903">
        <w:rPr>
          <w:rFonts w:ascii="Times New Roman" w:hAnsi="Times New Roman" w:cs="Times New Roman"/>
          <w:bCs/>
        </w:rPr>
        <w:t xml:space="preserve">t then explains the basic philosophy of RPL: people learn everywhere and throughout life, and what should be recognised is not the learning pathway itself but the learning outcomes already acquired. A central message runs through the </w:t>
      </w:r>
      <w:r>
        <w:rPr>
          <w:rFonts w:ascii="Times New Roman" w:hAnsi="Times New Roman" w:cs="Times New Roman"/>
          <w:bCs/>
        </w:rPr>
        <w:t>pitch</w:t>
      </w:r>
      <w:r w:rsidRPr="007E4903">
        <w:rPr>
          <w:rFonts w:ascii="Times New Roman" w:hAnsi="Times New Roman" w:cs="Times New Roman"/>
          <w:bCs/>
        </w:rPr>
        <w:t xml:space="preserve">: assessment is the heart of RPL, because trust, parity of esteem and labour-market value depend on a sound assessment process against predefined standards. The presentation also maps the many applications of RPL, from access to further study and exemptions to credits, partial qualifications, full qualifications in some cases, and labour-market certificates. </w:t>
      </w:r>
      <w:r>
        <w:rPr>
          <w:rFonts w:ascii="Times New Roman" w:hAnsi="Times New Roman" w:cs="Times New Roman"/>
          <w:bCs/>
        </w:rPr>
        <w:t xml:space="preserve">The target group </w:t>
      </w:r>
      <w:r w:rsidRPr="007E4903">
        <w:rPr>
          <w:rFonts w:ascii="Times New Roman" w:hAnsi="Times New Roman" w:cs="Times New Roman"/>
          <w:bCs/>
        </w:rPr>
        <w:t xml:space="preserve">is mainly </w:t>
      </w:r>
      <w:r>
        <w:rPr>
          <w:rFonts w:ascii="Times New Roman" w:hAnsi="Times New Roman" w:cs="Times New Roman"/>
          <w:bCs/>
        </w:rPr>
        <w:t>the</w:t>
      </w:r>
      <w:r w:rsidRPr="007E4903">
        <w:rPr>
          <w:rFonts w:ascii="Times New Roman" w:hAnsi="Times New Roman" w:cs="Times New Roman"/>
          <w:bCs/>
        </w:rPr>
        <w:t xml:space="preserve"> people who have competences without the corresponding qualification, it is about visibility of competences, it supports equity and employability, and it should be seen as a companion to formal education rather than a competitor.</w:t>
      </w:r>
    </w:p>
    <w:p w14:paraId="229E4C4F" w14:textId="74C3CBDF" w:rsidR="00367CDA" w:rsidRDefault="007E4903" w:rsidP="007E4903">
      <w:pPr>
        <w:spacing w:before="120" w:after="120" w:line="240" w:lineRule="auto"/>
        <w:jc w:val="both"/>
        <w:rPr>
          <w:rFonts w:ascii="Times New Roman" w:hAnsi="Times New Roman" w:cs="Times New Roman"/>
          <w:bCs/>
        </w:rPr>
      </w:pPr>
      <w:r w:rsidRPr="007E4903">
        <w:rPr>
          <w:rFonts w:ascii="Times New Roman" w:hAnsi="Times New Roman" w:cs="Times New Roman"/>
          <w:bCs/>
        </w:rPr>
        <w:t xml:space="preserve">The </w:t>
      </w:r>
      <w:r>
        <w:rPr>
          <w:rFonts w:ascii="Times New Roman" w:hAnsi="Times New Roman" w:cs="Times New Roman"/>
          <w:bCs/>
        </w:rPr>
        <w:t xml:space="preserve">rest </w:t>
      </w:r>
      <w:r w:rsidR="00FC604B">
        <w:rPr>
          <w:rFonts w:ascii="Times New Roman" w:hAnsi="Times New Roman" w:cs="Times New Roman"/>
          <w:bCs/>
        </w:rPr>
        <w:t>i</w:t>
      </w:r>
      <w:r w:rsidRPr="007E4903">
        <w:rPr>
          <w:rFonts w:ascii="Times New Roman" w:hAnsi="Times New Roman" w:cs="Times New Roman"/>
          <w:bCs/>
        </w:rPr>
        <w:t>s more operational and strategic. It deals with barriers, especially psychological and institutional resistance, and argues that communication and stakeholder ownership are essential. It sets out the rationale for RPL as a tool for making existing competences visible, supporting occupational mobility, regulated occupations, better jobs and poverty reduction. Then it moves to implementation issues: governance arrangements, whether the ministry of education or labour should lead, the supportive but limited role of a national qualifications framework, the need for guidance, and the fact that RPL is not free but should remain cheaper than formal education. A substantial section is devoted to assessment methods and principles, stressing that standards should remain the same while procedures may differ, and listing methods such as observation, portfolio, interview, written tests, simulation and practical tasks.</w:t>
      </w:r>
    </w:p>
    <w:p w14:paraId="0F140A3B" w14:textId="77777777" w:rsidR="00FC604B" w:rsidRDefault="00FC604B" w:rsidP="007E4903">
      <w:pPr>
        <w:spacing w:before="120" w:after="120" w:line="240" w:lineRule="auto"/>
        <w:jc w:val="both"/>
        <w:rPr>
          <w:rFonts w:ascii="Times New Roman" w:hAnsi="Times New Roman" w:cs="Times New Roman"/>
          <w:bCs/>
        </w:rPr>
      </w:pPr>
    </w:p>
    <w:p w14:paraId="4F4A20F4" w14:textId="77777777" w:rsidR="00032E71" w:rsidRDefault="00032E71">
      <w:pPr>
        <w:rPr>
          <w:rFonts w:ascii="Times New Roman" w:hAnsi="Times New Roman" w:cs="Times New Roman"/>
          <w:b/>
        </w:rPr>
      </w:pPr>
      <w:r>
        <w:rPr>
          <w:rFonts w:ascii="Times New Roman" w:hAnsi="Times New Roman" w:cs="Times New Roman"/>
          <w:b/>
        </w:rPr>
        <w:br w:type="page"/>
      </w:r>
    </w:p>
    <w:p w14:paraId="23B17F25" w14:textId="64348E76" w:rsidR="00367CDA" w:rsidRPr="0078687C" w:rsidRDefault="00367CDA" w:rsidP="007E4903">
      <w:pPr>
        <w:spacing w:before="120" w:after="120" w:line="240" w:lineRule="auto"/>
        <w:jc w:val="both"/>
        <w:rPr>
          <w:rFonts w:ascii="Times New Roman" w:hAnsi="Times New Roman" w:cs="Times New Roman"/>
          <w:b/>
        </w:rPr>
      </w:pPr>
      <w:r w:rsidRPr="0078687C">
        <w:rPr>
          <w:rFonts w:ascii="Times New Roman" w:hAnsi="Times New Roman" w:cs="Times New Roman"/>
          <w:b/>
        </w:rPr>
        <w:lastRenderedPageBreak/>
        <w:t>Credit Accumulation and Transfer System (CATS)</w:t>
      </w:r>
    </w:p>
    <w:p w14:paraId="5B9171F1" w14:textId="18C5781E" w:rsidR="00A73FFC" w:rsidRPr="00A73FFC" w:rsidRDefault="00A73FFC" w:rsidP="007E4903">
      <w:pPr>
        <w:spacing w:before="120" w:after="120" w:line="240" w:lineRule="auto"/>
        <w:jc w:val="both"/>
        <w:rPr>
          <w:rFonts w:ascii="Times New Roman" w:hAnsi="Times New Roman" w:cs="Times New Roman"/>
          <w:bCs/>
        </w:rPr>
      </w:pPr>
      <w:r w:rsidRPr="00A73FFC">
        <w:rPr>
          <w:rFonts w:ascii="Times New Roman" w:hAnsi="Times New Roman" w:cs="Times New Roman"/>
          <w:bCs/>
        </w:rPr>
        <w:t>In the morning, the ACQF expert made a presentation on demystifying CAT (definitions, concepts, benefits, challenges, etc.), how to implement the Botswana CAT policy and Guidelines, as well as on how to develop institutional CAT policies and procedures.</w:t>
      </w:r>
    </w:p>
    <w:p w14:paraId="5801DC77" w14:textId="465D6906" w:rsidR="00367CDA" w:rsidRDefault="00A73FFC" w:rsidP="007E4903">
      <w:pPr>
        <w:spacing w:before="120" w:after="120" w:line="240" w:lineRule="auto"/>
        <w:jc w:val="both"/>
        <w:rPr>
          <w:rFonts w:ascii="Times New Roman" w:hAnsi="Times New Roman" w:cs="Times New Roman"/>
          <w:bCs/>
        </w:rPr>
      </w:pPr>
      <w:r w:rsidRPr="00A73FFC">
        <w:rPr>
          <w:rFonts w:ascii="Times New Roman" w:hAnsi="Times New Roman" w:cs="Times New Roman"/>
          <w:bCs/>
        </w:rPr>
        <w:t>In the afternoon, participants (both physical and online) engaged in group work under the guidance of the ACQF expert, to populate the national CAT policy and Guidelines implementation plan and M&amp;E matrix for monitoring and evaluating the implementation of the national CAT policy and Guidelines.</w:t>
      </w:r>
    </w:p>
    <w:p w14:paraId="076B76DA" w14:textId="77777777" w:rsidR="00A73FFC" w:rsidRDefault="00A73FFC" w:rsidP="007E4903">
      <w:pPr>
        <w:spacing w:before="120" w:after="120" w:line="240" w:lineRule="auto"/>
        <w:jc w:val="both"/>
        <w:rPr>
          <w:rFonts w:ascii="Times New Roman" w:hAnsi="Times New Roman" w:cs="Times New Roman"/>
          <w:bCs/>
        </w:rPr>
      </w:pPr>
    </w:p>
    <w:p w14:paraId="5625C2CF" w14:textId="2DE22713" w:rsidR="00367CDA" w:rsidRPr="0078687C" w:rsidRDefault="00367CDA" w:rsidP="007E4903">
      <w:pPr>
        <w:spacing w:before="120" w:after="120" w:line="240" w:lineRule="auto"/>
        <w:jc w:val="both"/>
        <w:rPr>
          <w:rFonts w:ascii="Times New Roman" w:hAnsi="Times New Roman" w:cs="Times New Roman"/>
          <w:b/>
        </w:rPr>
      </w:pPr>
      <w:r w:rsidRPr="0078687C">
        <w:rPr>
          <w:rFonts w:ascii="Times New Roman" w:hAnsi="Times New Roman" w:cs="Times New Roman"/>
          <w:b/>
        </w:rPr>
        <w:t>National qualifications framework (NQF)</w:t>
      </w:r>
    </w:p>
    <w:p w14:paraId="48F78FDD" w14:textId="2777DFAF" w:rsidR="0018746A" w:rsidRDefault="00367CDA" w:rsidP="007E4903">
      <w:pPr>
        <w:spacing w:before="120" w:after="120" w:line="240" w:lineRule="auto"/>
        <w:jc w:val="both"/>
        <w:rPr>
          <w:rFonts w:ascii="Times New Roman" w:hAnsi="Times New Roman" w:cs="Times New Roman"/>
          <w:bCs/>
        </w:rPr>
      </w:pPr>
      <w:r w:rsidRPr="00367CDA">
        <w:rPr>
          <w:rFonts w:ascii="Times New Roman" w:hAnsi="Times New Roman" w:cs="Times New Roman"/>
          <w:bCs/>
        </w:rPr>
        <w:t>A half-day session was held on "Referencing to the ACQF", an African Union policy initiative. The session explained the underpinnings, purposes, and principles of referencing, outlining the requirements for the exercise. Key criteria and benefits</w:t>
      </w:r>
      <w:r w:rsidR="0018746A">
        <w:rPr>
          <w:rFonts w:ascii="Times New Roman" w:hAnsi="Times New Roman" w:cs="Times New Roman"/>
          <w:bCs/>
        </w:rPr>
        <w:t xml:space="preserve"> – </w:t>
      </w:r>
      <w:r w:rsidRPr="00367CDA">
        <w:rPr>
          <w:rFonts w:ascii="Times New Roman" w:hAnsi="Times New Roman" w:cs="Times New Roman"/>
          <w:bCs/>
        </w:rPr>
        <w:t>both national and continental</w:t>
      </w:r>
      <w:r w:rsidR="0018746A">
        <w:rPr>
          <w:rFonts w:ascii="Times New Roman" w:hAnsi="Times New Roman" w:cs="Times New Roman"/>
          <w:bCs/>
        </w:rPr>
        <w:t xml:space="preserve"> – </w:t>
      </w:r>
      <w:r w:rsidRPr="00367CDA">
        <w:rPr>
          <w:rFonts w:ascii="Times New Roman" w:hAnsi="Times New Roman" w:cs="Times New Roman"/>
          <w:bCs/>
        </w:rPr>
        <w:t xml:space="preserve">were elaborated, clarifying what referencing is and what it is not. </w:t>
      </w:r>
    </w:p>
    <w:p w14:paraId="6B234D21" w14:textId="3CCD0448" w:rsidR="00831F14" w:rsidRPr="0038640A" w:rsidRDefault="00367CDA" w:rsidP="007E4903">
      <w:pPr>
        <w:spacing w:before="120" w:after="120" w:line="240" w:lineRule="auto"/>
        <w:jc w:val="both"/>
        <w:rPr>
          <w:rFonts w:ascii="Times New Roman" w:hAnsi="Times New Roman" w:cs="Times New Roman"/>
          <w:bCs/>
        </w:rPr>
      </w:pPr>
      <w:r w:rsidRPr="00367CDA">
        <w:rPr>
          <w:rFonts w:ascii="Times New Roman" w:hAnsi="Times New Roman" w:cs="Times New Roman"/>
          <w:bCs/>
        </w:rPr>
        <w:t xml:space="preserve">Participants were also introduced to ACQF’s Qualifications Credentials Platform (QCP) </w:t>
      </w:r>
      <w:r w:rsidR="0018746A">
        <w:rPr>
          <w:rFonts w:ascii="Times New Roman" w:hAnsi="Times New Roman" w:cs="Times New Roman"/>
          <w:bCs/>
        </w:rPr>
        <w:t>–</w:t>
      </w:r>
      <w:r w:rsidRPr="00367CDA">
        <w:rPr>
          <w:rFonts w:ascii="Times New Roman" w:hAnsi="Times New Roman" w:cs="Times New Roman"/>
          <w:bCs/>
        </w:rPr>
        <w:t xml:space="preserve"> digital infrastructure. The session enhanced understanding of how referencing supports qualifications comparability, learner mobility, and continental integration. Group work was also conducted under the guidance of the expert on what goes into the referencing report in addressing the referencing criteria.</w:t>
      </w:r>
    </w:p>
    <w:p w14:paraId="2EABC908" w14:textId="77777777" w:rsidR="0038640A" w:rsidRDefault="0038640A" w:rsidP="007E4903">
      <w:pPr>
        <w:spacing w:before="120" w:after="120" w:line="240" w:lineRule="auto"/>
        <w:rPr>
          <w:rFonts w:ascii="Times New Roman" w:hAnsi="Times New Roman" w:cs="Times New Roman"/>
          <w:b/>
        </w:rPr>
      </w:pPr>
    </w:p>
    <w:p w14:paraId="6633384F" w14:textId="77777777" w:rsidR="0038640A" w:rsidRDefault="0038640A" w:rsidP="007E4903">
      <w:pPr>
        <w:spacing w:before="120" w:after="120" w:line="240" w:lineRule="auto"/>
        <w:rPr>
          <w:rFonts w:ascii="Times New Roman" w:hAnsi="Times New Roman" w:cs="Times New Roman"/>
          <w:b/>
        </w:rPr>
      </w:pPr>
    </w:p>
    <w:p w14:paraId="3D17AA16" w14:textId="080DAA78" w:rsidR="004344E0" w:rsidRPr="0038640A" w:rsidRDefault="004344E0" w:rsidP="007E4903">
      <w:pPr>
        <w:spacing w:before="120" w:after="120" w:line="240" w:lineRule="auto"/>
        <w:jc w:val="center"/>
        <w:rPr>
          <w:rFonts w:ascii="Times New Roman" w:hAnsi="Times New Roman" w:cs="Times New Roman"/>
          <w:b/>
        </w:rPr>
      </w:pPr>
      <w:r>
        <w:rPr>
          <w:rFonts w:ascii="Times New Roman" w:hAnsi="Times New Roman" w:cs="Times New Roman"/>
          <w:b/>
        </w:rPr>
        <w:t>Table 1. General Description of the Workshops</w:t>
      </w:r>
    </w:p>
    <w:tbl>
      <w:tblPr>
        <w:tblStyle w:val="TableGrid"/>
        <w:tblW w:w="9067" w:type="dxa"/>
        <w:tblLayout w:type="fixed"/>
        <w:tblLook w:val="04A0" w:firstRow="1" w:lastRow="0" w:firstColumn="1" w:lastColumn="0" w:noHBand="0" w:noVBand="1"/>
      </w:tblPr>
      <w:tblGrid>
        <w:gridCol w:w="330"/>
        <w:gridCol w:w="1236"/>
        <w:gridCol w:w="2398"/>
        <w:gridCol w:w="3402"/>
        <w:gridCol w:w="1701"/>
      </w:tblGrid>
      <w:tr w:rsidR="004344E0" w:rsidRPr="0038640A" w14:paraId="553C9987" w14:textId="77777777" w:rsidTr="004344E0">
        <w:tc>
          <w:tcPr>
            <w:tcW w:w="330" w:type="dxa"/>
          </w:tcPr>
          <w:p w14:paraId="08652988" w14:textId="6ABD78F0" w:rsidR="004344E0" w:rsidRPr="0038640A" w:rsidRDefault="004344E0" w:rsidP="007E4903">
            <w:pPr>
              <w:spacing w:before="120" w:after="120"/>
              <w:jc w:val="center"/>
              <w:rPr>
                <w:rFonts w:ascii="Times New Roman" w:hAnsi="Times New Roman" w:cs="Times New Roman"/>
                <w:b/>
              </w:rPr>
            </w:pPr>
            <w:r>
              <w:rPr>
                <w:rFonts w:ascii="Times New Roman" w:hAnsi="Times New Roman" w:cs="Times New Roman"/>
                <w:b/>
              </w:rPr>
              <w:t>#</w:t>
            </w:r>
          </w:p>
        </w:tc>
        <w:tc>
          <w:tcPr>
            <w:tcW w:w="1236" w:type="dxa"/>
          </w:tcPr>
          <w:p w14:paraId="2BF70293" w14:textId="5AED9F7F" w:rsidR="004344E0" w:rsidRPr="0038640A" w:rsidRDefault="004344E0" w:rsidP="007E4903">
            <w:pPr>
              <w:spacing w:before="120" w:after="120"/>
              <w:jc w:val="center"/>
              <w:rPr>
                <w:rFonts w:ascii="Times New Roman" w:hAnsi="Times New Roman" w:cs="Times New Roman"/>
                <w:b/>
              </w:rPr>
            </w:pPr>
            <w:r w:rsidRPr="0038640A">
              <w:rPr>
                <w:rFonts w:ascii="Times New Roman" w:hAnsi="Times New Roman" w:cs="Times New Roman"/>
                <w:b/>
              </w:rPr>
              <w:t xml:space="preserve">Date </w:t>
            </w:r>
            <w:r>
              <w:rPr>
                <w:rFonts w:ascii="Times New Roman" w:hAnsi="Times New Roman" w:cs="Times New Roman"/>
                <w:b/>
              </w:rPr>
              <w:t>o</w:t>
            </w:r>
            <w:r w:rsidRPr="0038640A">
              <w:rPr>
                <w:rFonts w:ascii="Times New Roman" w:hAnsi="Times New Roman" w:cs="Times New Roman"/>
                <w:b/>
              </w:rPr>
              <w:t>f Workshop</w:t>
            </w:r>
          </w:p>
        </w:tc>
        <w:tc>
          <w:tcPr>
            <w:tcW w:w="2398" w:type="dxa"/>
          </w:tcPr>
          <w:p w14:paraId="3E2A95C6" w14:textId="0A13CA73" w:rsidR="004344E0" w:rsidRPr="0038640A" w:rsidRDefault="004344E0" w:rsidP="007E4903">
            <w:pPr>
              <w:spacing w:before="120" w:after="120"/>
              <w:jc w:val="center"/>
              <w:rPr>
                <w:rFonts w:ascii="Times New Roman" w:hAnsi="Times New Roman" w:cs="Times New Roman"/>
                <w:b/>
              </w:rPr>
            </w:pPr>
            <w:r w:rsidRPr="0038640A">
              <w:rPr>
                <w:rFonts w:ascii="Times New Roman" w:hAnsi="Times New Roman" w:cs="Times New Roman"/>
                <w:b/>
              </w:rPr>
              <w:t>Stakeholder Category</w:t>
            </w:r>
          </w:p>
        </w:tc>
        <w:tc>
          <w:tcPr>
            <w:tcW w:w="3402" w:type="dxa"/>
          </w:tcPr>
          <w:p w14:paraId="31130489" w14:textId="3AE7E0F0" w:rsidR="004344E0" w:rsidRPr="0038640A" w:rsidRDefault="004344E0" w:rsidP="007E4903">
            <w:pPr>
              <w:spacing w:before="120" w:after="120"/>
              <w:jc w:val="center"/>
              <w:rPr>
                <w:rFonts w:ascii="Times New Roman" w:hAnsi="Times New Roman" w:cs="Times New Roman"/>
                <w:b/>
              </w:rPr>
            </w:pPr>
            <w:r w:rsidRPr="0038640A">
              <w:rPr>
                <w:rFonts w:ascii="Times New Roman" w:hAnsi="Times New Roman" w:cs="Times New Roman"/>
                <w:b/>
              </w:rPr>
              <w:t>Workshop Methodology</w:t>
            </w:r>
          </w:p>
        </w:tc>
        <w:tc>
          <w:tcPr>
            <w:tcW w:w="1701" w:type="dxa"/>
          </w:tcPr>
          <w:p w14:paraId="7875AB61" w14:textId="01D5832E" w:rsidR="004344E0" w:rsidRPr="0038640A" w:rsidRDefault="004344E0" w:rsidP="007E4903">
            <w:pPr>
              <w:spacing w:before="120" w:after="120"/>
              <w:jc w:val="center"/>
              <w:rPr>
                <w:rFonts w:ascii="Times New Roman" w:hAnsi="Times New Roman" w:cs="Times New Roman"/>
                <w:b/>
              </w:rPr>
            </w:pPr>
            <w:r>
              <w:rPr>
                <w:rFonts w:ascii="Times New Roman" w:hAnsi="Times New Roman" w:cs="Times New Roman"/>
                <w:b/>
              </w:rPr>
              <w:t>Evaluation</w:t>
            </w:r>
          </w:p>
        </w:tc>
      </w:tr>
      <w:tr w:rsidR="004344E0" w:rsidRPr="0038640A" w14:paraId="7B8E888B" w14:textId="77777777" w:rsidTr="004344E0">
        <w:tc>
          <w:tcPr>
            <w:tcW w:w="330" w:type="dxa"/>
          </w:tcPr>
          <w:p w14:paraId="10DAC276" w14:textId="77777777" w:rsidR="004344E0" w:rsidRPr="0038640A" w:rsidRDefault="004344E0" w:rsidP="007E4903">
            <w:pPr>
              <w:pStyle w:val="ListParagraph"/>
              <w:numPr>
                <w:ilvl w:val="0"/>
                <w:numId w:val="1"/>
              </w:numPr>
              <w:spacing w:before="120" w:after="120"/>
              <w:contextualSpacing w:val="0"/>
              <w:rPr>
                <w:rFonts w:ascii="Times New Roman" w:hAnsi="Times New Roman" w:cs="Times New Roman"/>
              </w:rPr>
            </w:pPr>
          </w:p>
        </w:tc>
        <w:tc>
          <w:tcPr>
            <w:tcW w:w="1236" w:type="dxa"/>
          </w:tcPr>
          <w:p w14:paraId="3362EA5B" w14:textId="1A5C938E" w:rsidR="004344E0" w:rsidRPr="0038640A" w:rsidRDefault="004344E0" w:rsidP="007E4903">
            <w:pPr>
              <w:spacing w:before="120" w:after="120"/>
              <w:rPr>
                <w:rFonts w:ascii="Times New Roman" w:hAnsi="Times New Roman" w:cs="Times New Roman"/>
              </w:rPr>
            </w:pPr>
            <w:r>
              <w:rPr>
                <w:rFonts w:ascii="Times New Roman" w:hAnsi="Times New Roman" w:cs="Times New Roman"/>
              </w:rPr>
              <w:t>9-11 February 2026</w:t>
            </w:r>
          </w:p>
        </w:tc>
        <w:tc>
          <w:tcPr>
            <w:tcW w:w="2398" w:type="dxa"/>
          </w:tcPr>
          <w:p w14:paraId="74C57574" w14:textId="77777777" w:rsidR="004344E0" w:rsidRPr="0038640A" w:rsidRDefault="004344E0" w:rsidP="007E4903">
            <w:pPr>
              <w:spacing w:before="120" w:after="120"/>
              <w:rPr>
                <w:rFonts w:ascii="Times New Roman" w:hAnsi="Times New Roman" w:cs="Times New Roman"/>
              </w:rPr>
            </w:pPr>
            <w:r w:rsidRPr="0038640A">
              <w:rPr>
                <w:rFonts w:ascii="Times New Roman" w:hAnsi="Times New Roman" w:cs="Times New Roman"/>
              </w:rPr>
              <w:t>BQA Staff, Education and Training Providers (ETPs - TVET)</w:t>
            </w:r>
          </w:p>
        </w:tc>
        <w:tc>
          <w:tcPr>
            <w:tcW w:w="3402" w:type="dxa"/>
            <w:vMerge w:val="restart"/>
          </w:tcPr>
          <w:p w14:paraId="292EEC8C" w14:textId="251573D7" w:rsidR="004344E0" w:rsidRDefault="004344E0" w:rsidP="007E4903">
            <w:pPr>
              <w:spacing w:before="120" w:after="120"/>
              <w:rPr>
                <w:rFonts w:ascii="Times New Roman" w:hAnsi="Times New Roman" w:cs="Times New Roman"/>
              </w:rPr>
            </w:pPr>
            <w:r>
              <w:rPr>
                <w:rFonts w:ascii="Times New Roman" w:hAnsi="Times New Roman" w:cs="Times New Roman"/>
              </w:rPr>
              <w:t xml:space="preserve">- </w:t>
            </w:r>
            <w:r w:rsidRPr="0038640A">
              <w:rPr>
                <w:rFonts w:ascii="Times New Roman" w:hAnsi="Times New Roman" w:cs="Times New Roman"/>
              </w:rPr>
              <w:t>In the morning, the ACQF expert</w:t>
            </w:r>
            <w:r>
              <w:rPr>
                <w:rFonts w:ascii="Times New Roman" w:hAnsi="Times New Roman" w:cs="Times New Roman"/>
              </w:rPr>
              <w:t>s</w:t>
            </w:r>
            <w:r w:rsidRPr="0038640A">
              <w:rPr>
                <w:rFonts w:ascii="Times New Roman" w:hAnsi="Times New Roman" w:cs="Times New Roman"/>
              </w:rPr>
              <w:t xml:space="preserve"> made a presentation on demystifying </w:t>
            </w:r>
            <w:r>
              <w:rPr>
                <w:rFonts w:ascii="Times New Roman" w:hAnsi="Times New Roman" w:cs="Times New Roman"/>
              </w:rPr>
              <w:t xml:space="preserve">RPL, </w:t>
            </w:r>
            <w:r w:rsidRPr="0038640A">
              <w:rPr>
                <w:rFonts w:ascii="Times New Roman" w:hAnsi="Times New Roman" w:cs="Times New Roman"/>
              </w:rPr>
              <w:t xml:space="preserve">CAT </w:t>
            </w:r>
            <w:r>
              <w:rPr>
                <w:rFonts w:ascii="Times New Roman" w:hAnsi="Times New Roman" w:cs="Times New Roman"/>
              </w:rPr>
              <w:t xml:space="preserve">and referencing respectively </w:t>
            </w:r>
            <w:r w:rsidRPr="0038640A">
              <w:rPr>
                <w:rFonts w:ascii="Times New Roman" w:hAnsi="Times New Roman" w:cs="Times New Roman"/>
              </w:rPr>
              <w:t xml:space="preserve">(definitions, concepts, benefits, challenges, etc.), </w:t>
            </w:r>
            <w:r>
              <w:rPr>
                <w:rFonts w:ascii="Times New Roman" w:hAnsi="Times New Roman" w:cs="Times New Roman"/>
              </w:rPr>
              <w:t xml:space="preserve">on </w:t>
            </w:r>
            <w:r w:rsidRPr="0038640A">
              <w:rPr>
                <w:rFonts w:ascii="Times New Roman" w:hAnsi="Times New Roman" w:cs="Times New Roman"/>
              </w:rPr>
              <w:t>how to implement the</w:t>
            </w:r>
            <w:r>
              <w:rPr>
                <w:rFonts w:ascii="Times New Roman" w:hAnsi="Times New Roman" w:cs="Times New Roman"/>
              </w:rPr>
              <w:t xml:space="preserve">se approaches for </w:t>
            </w:r>
            <w:r w:rsidRPr="0038640A">
              <w:rPr>
                <w:rFonts w:ascii="Times New Roman" w:hAnsi="Times New Roman" w:cs="Times New Roman"/>
              </w:rPr>
              <w:t>Botswana, as well as on how to develop policies and procedures.</w:t>
            </w:r>
            <w:r>
              <w:rPr>
                <w:rFonts w:ascii="Times New Roman" w:hAnsi="Times New Roman" w:cs="Times New Roman"/>
              </w:rPr>
              <w:t xml:space="preserve"> (see PowerPoint presentations)</w:t>
            </w:r>
          </w:p>
          <w:p w14:paraId="083571FB" w14:textId="3583D00E" w:rsidR="004344E0" w:rsidRPr="0038640A" w:rsidRDefault="004344E0" w:rsidP="007E4903">
            <w:pPr>
              <w:spacing w:before="120" w:after="120"/>
              <w:rPr>
                <w:rFonts w:ascii="Times New Roman" w:hAnsi="Times New Roman" w:cs="Times New Roman"/>
              </w:rPr>
            </w:pPr>
            <w:r>
              <w:rPr>
                <w:rFonts w:ascii="Times New Roman" w:hAnsi="Times New Roman" w:cs="Times New Roman"/>
              </w:rPr>
              <w:t>-</w:t>
            </w:r>
            <w:r w:rsidRPr="0038640A">
              <w:rPr>
                <w:rFonts w:ascii="Times New Roman" w:hAnsi="Times New Roman" w:cs="Times New Roman"/>
              </w:rPr>
              <w:t>In the afternoon, participants engaged in group work under the guidance of the ACQF expert</w:t>
            </w:r>
            <w:r>
              <w:rPr>
                <w:rFonts w:ascii="Times New Roman" w:hAnsi="Times New Roman" w:cs="Times New Roman"/>
              </w:rPr>
              <w:t>s. (see relevant documents)</w:t>
            </w:r>
          </w:p>
          <w:p w14:paraId="056269BA" w14:textId="4E900FDE" w:rsidR="004344E0" w:rsidRPr="0038640A" w:rsidRDefault="004344E0" w:rsidP="007E4903">
            <w:pPr>
              <w:spacing w:before="120" w:after="120"/>
              <w:rPr>
                <w:rFonts w:ascii="Times New Roman" w:hAnsi="Times New Roman" w:cs="Times New Roman"/>
              </w:rPr>
            </w:pPr>
            <w:r>
              <w:rPr>
                <w:rFonts w:ascii="Times New Roman" w:hAnsi="Times New Roman" w:cs="Times New Roman"/>
              </w:rPr>
              <w:t>-</w:t>
            </w:r>
            <w:r w:rsidRPr="0038640A">
              <w:rPr>
                <w:rFonts w:ascii="Times New Roman" w:hAnsi="Times New Roman" w:cs="Times New Roman"/>
              </w:rPr>
              <w:t>The groups then reported back to plenary for validation of the group work outputs.</w:t>
            </w:r>
          </w:p>
        </w:tc>
        <w:tc>
          <w:tcPr>
            <w:tcW w:w="1701" w:type="dxa"/>
            <w:vMerge w:val="restart"/>
            <w:vAlign w:val="center"/>
          </w:tcPr>
          <w:p w14:paraId="379573F6" w14:textId="77777777" w:rsidR="004344E0" w:rsidRPr="0038640A" w:rsidRDefault="004344E0" w:rsidP="007E4903">
            <w:pPr>
              <w:spacing w:before="120" w:after="120"/>
              <w:jc w:val="center"/>
              <w:rPr>
                <w:rFonts w:ascii="Times New Roman" w:hAnsi="Times New Roman" w:cs="Times New Roman"/>
              </w:rPr>
            </w:pPr>
            <w:r w:rsidRPr="0038640A">
              <w:rPr>
                <w:rFonts w:ascii="Times New Roman" w:hAnsi="Times New Roman" w:cs="Times New Roman"/>
              </w:rPr>
              <w:t>Workshop objectives were met</w:t>
            </w:r>
          </w:p>
        </w:tc>
      </w:tr>
      <w:tr w:rsidR="004344E0" w:rsidRPr="0038640A" w14:paraId="4AA5BBDB" w14:textId="77777777" w:rsidTr="004344E0">
        <w:tc>
          <w:tcPr>
            <w:tcW w:w="330" w:type="dxa"/>
          </w:tcPr>
          <w:p w14:paraId="26193715" w14:textId="77777777" w:rsidR="004344E0" w:rsidRPr="0038640A" w:rsidRDefault="004344E0" w:rsidP="007E4903">
            <w:pPr>
              <w:pStyle w:val="ListParagraph"/>
              <w:numPr>
                <w:ilvl w:val="0"/>
                <w:numId w:val="1"/>
              </w:numPr>
              <w:spacing w:before="120" w:after="120"/>
              <w:contextualSpacing w:val="0"/>
              <w:rPr>
                <w:rFonts w:ascii="Times New Roman" w:hAnsi="Times New Roman" w:cs="Times New Roman"/>
              </w:rPr>
            </w:pPr>
          </w:p>
        </w:tc>
        <w:tc>
          <w:tcPr>
            <w:tcW w:w="1236" w:type="dxa"/>
          </w:tcPr>
          <w:p w14:paraId="3062DA66" w14:textId="3C48D0F1" w:rsidR="004344E0" w:rsidRPr="0038640A" w:rsidRDefault="004344E0" w:rsidP="007E4903">
            <w:pPr>
              <w:spacing w:before="120" w:after="120"/>
              <w:rPr>
                <w:rFonts w:ascii="Times New Roman" w:hAnsi="Times New Roman" w:cs="Times New Roman"/>
              </w:rPr>
            </w:pPr>
            <w:r>
              <w:rPr>
                <w:rFonts w:ascii="Times New Roman" w:hAnsi="Times New Roman" w:cs="Times New Roman"/>
              </w:rPr>
              <w:t>23-25 February 2026</w:t>
            </w:r>
          </w:p>
        </w:tc>
        <w:tc>
          <w:tcPr>
            <w:tcW w:w="2398" w:type="dxa"/>
          </w:tcPr>
          <w:p w14:paraId="5B61569E" w14:textId="77777777" w:rsidR="004344E0" w:rsidRPr="0038640A" w:rsidRDefault="004344E0" w:rsidP="007E4903">
            <w:pPr>
              <w:spacing w:before="120" w:after="120"/>
              <w:rPr>
                <w:rFonts w:ascii="Times New Roman" w:hAnsi="Times New Roman" w:cs="Times New Roman"/>
              </w:rPr>
            </w:pPr>
            <w:r w:rsidRPr="0038640A">
              <w:rPr>
                <w:rFonts w:ascii="Times New Roman" w:hAnsi="Times New Roman" w:cs="Times New Roman"/>
              </w:rPr>
              <w:t>BQA Staff, State Owned Enterprises, Professional Bodies, Local Authority Representatives</w:t>
            </w:r>
          </w:p>
        </w:tc>
        <w:tc>
          <w:tcPr>
            <w:tcW w:w="3402" w:type="dxa"/>
            <w:vMerge/>
          </w:tcPr>
          <w:p w14:paraId="291BC929" w14:textId="77777777" w:rsidR="004344E0" w:rsidRPr="0038640A" w:rsidRDefault="004344E0" w:rsidP="007E4903">
            <w:pPr>
              <w:spacing w:before="120" w:after="120"/>
              <w:rPr>
                <w:rFonts w:ascii="Times New Roman" w:hAnsi="Times New Roman" w:cs="Times New Roman"/>
              </w:rPr>
            </w:pPr>
          </w:p>
        </w:tc>
        <w:tc>
          <w:tcPr>
            <w:tcW w:w="1701" w:type="dxa"/>
            <w:vMerge/>
          </w:tcPr>
          <w:p w14:paraId="03861A25" w14:textId="77777777" w:rsidR="004344E0" w:rsidRPr="0038640A" w:rsidRDefault="004344E0" w:rsidP="007E4903">
            <w:pPr>
              <w:spacing w:before="120" w:after="120"/>
              <w:rPr>
                <w:rFonts w:ascii="Times New Roman" w:hAnsi="Times New Roman" w:cs="Times New Roman"/>
              </w:rPr>
            </w:pPr>
          </w:p>
        </w:tc>
      </w:tr>
      <w:tr w:rsidR="004344E0" w:rsidRPr="0038640A" w14:paraId="19689426" w14:textId="77777777" w:rsidTr="004344E0">
        <w:tc>
          <w:tcPr>
            <w:tcW w:w="330" w:type="dxa"/>
          </w:tcPr>
          <w:p w14:paraId="5324A629" w14:textId="77777777" w:rsidR="004344E0" w:rsidRPr="0038640A" w:rsidRDefault="004344E0" w:rsidP="007E4903">
            <w:pPr>
              <w:pStyle w:val="ListParagraph"/>
              <w:numPr>
                <w:ilvl w:val="0"/>
                <w:numId w:val="1"/>
              </w:numPr>
              <w:spacing w:before="120" w:after="120"/>
              <w:contextualSpacing w:val="0"/>
              <w:rPr>
                <w:rFonts w:ascii="Times New Roman" w:hAnsi="Times New Roman" w:cs="Times New Roman"/>
              </w:rPr>
            </w:pPr>
          </w:p>
        </w:tc>
        <w:tc>
          <w:tcPr>
            <w:tcW w:w="1236" w:type="dxa"/>
          </w:tcPr>
          <w:p w14:paraId="4007586C" w14:textId="07823EB3" w:rsidR="004344E0" w:rsidRPr="0038640A" w:rsidRDefault="004344E0" w:rsidP="007E4903">
            <w:pPr>
              <w:spacing w:before="120" w:after="120"/>
              <w:rPr>
                <w:rFonts w:ascii="Times New Roman" w:hAnsi="Times New Roman" w:cs="Times New Roman"/>
              </w:rPr>
            </w:pPr>
            <w:r>
              <w:rPr>
                <w:rFonts w:ascii="Times New Roman" w:hAnsi="Times New Roman" w:cs="Times New Roman"/>
              </w:rPr>
              <w:t xml:space="preserve">2-4 March </w:t>
            </w:r>
            <w:r w:rsidRPr="0038640A">
              <w:rPr>
                <w:rFonts w:ascii="Times New Roman" w:hAnsi="Times New Roman" w:cs="Times New Roman"/>
              </w:rPr>
              <w:t>2026</w:t>
            </w:r>
          </w:p>
        </w:tc>
        <w:tc>
          <w:tcPr>
            <w:tcW w:w="2398" w:type="dxa"/>
          </w:tcPr>
          <w:p w14:paraId="74D805CA" w14:textId="5604107B" w:rsidR="004344E0" w:rsidRPr="0038640A" w:rsidRDefault="004344E0" w:rsidP="007E4903">
            <w:pPr>
              <w:spacing w:before="120" w:after="120"/>
              <w:rPr>
                <w:rFonts w:ascii="Times New Roman" w:hAnsi="Times New Roman" w:cs="Times New Roman"/>
              </w:rPr>
            </w:pPr>
            <w:r w:rsidRPr="0038640A">
              <w:rPr>
                <w:rFonts w:ascii="Times New Roman" w:hAnsi="Times New Roman" w:cs="Times New Roman"/>
              </w:rPr>
              <w:t xml:space="preserve">BQA Staff, </w:t>
            </w:r>
          </w:p>
          <w:p w14:paraId="1E631F6E" w14:textId="77777777" w:rsidR="004344E0" w:rsidRPr="0038640A" w:rsidRDefault="004344E0" w:rsidP="007E4903">
            <w:pPr>
              <w:spacing w:before="120" w:after="120"/>
              <w:rPr>
                <w:rFonts w:ascii="Times New Roman" w:hAnsi="Times New Roman" w:cs="Times New Roman"/>
              </w:rPr>
            </w:pPr>
            <w:r w:rsidRPr="0038640A">
              <w:rPr>
                <w:rFonts w:ascii="Times New Roman" w:hAnsi="Times New Roman" w:cs="Times New Roman"/>
              </w:rPr>
              <w:t>Conventional ETPs</w:t>
            </w:r>
          </w:p>
        </w:tc>
        <w:tc>
          <w:tcPr>
            <w:tcW w:w="3402" w:type="dxa"/>
            <w:vMerge/>
          </w:tcPr>
          <w:p w14:paraId="75AFB59D" w14:textId="77777777" w:rsidR="004344E0" w:rsidRPr="0038640A" w:rsidRDefault="004344E0" w:rsidP="007E4903">
            <w:pPr>
              <w:spacing w:before="120" w:after="120"/>
              <w:rPr>
                <w:rFonts w:ascii="Times New Roman" w:hAnsi="Times New Roman" w:cs="Times New Roman"/>
              </w:rPr>
            </w:pPr>
          </w:p>
        </w:tc>
        <w:tc>
          <w:tcPr>
            <w:tcW w:w="1701" w:type="dxa"/>
            <w:vMerge/>
          </w:tcPr>
          <w:p w14:paraId="0C7FAEFB" w14:textId="77777777" w:rsidR="004344E0" w:rsidRPr="0038640A" w:rsidRDefault="004344E0" w:rsidP="007E4903">
            <w:pPr>
              <w:spacing w:before="120" w:after="120"/>
              <w:rPr>
                <w:rFonts w:ascii="Times New Roman" w:hAnsi="Times New Roman" w:cs="Times New Roman"/>
              </w:rPr>
            </w:pPr>
          </w:p>
        </w:tc>
      </w:tr>
      <w:tr w:rsidR="004344E0" w:rsidRPr="0038640A" w14:paraId="037B8031" w14:textId="77777777" w:rsidTr="004344E0">
        <w:tc>
          <w:tcPr>
            <w:tcW w:w="330" w:type="dxa"/>
          </w:tcPr>
          <w:p w14:paraId="5C083BC9" w14:textId="77777777" w:rsidR="004344E0" w:rsidRPr="0038640A" w:rsidRDefault="004344E0" w:rsidP="007E4903">
            <w:pPr>
              <w:pStyle w:val="ListParagraph"/>
              <w:numPr>
                <w:ilvl w:val="0"/>
                <w:numId w:val="1"/>
              </w:numPr>
              <w:spacing w:before="120" w:after="120"/>
              <w:contextualSpacing w:val="0"/>
              <w:rPr>
                <w:rFonts w:ascii="Times New Roman" w:hAnsi="Times New Roman" w:cs="Times New Roman"/>
              </w:rPr>
            </w:pPr>
          </w:p>
        </w:tc>
        <w:tc>
          <w:tcPr>
            <w:tcW w:w="1236" w:type="dxa"/>
          </w:tcPr>
          <w:p w14:paraId="42EA80E2" w14:textId="6BF694AD" w:rsidR="004344E0" w:rsidRPr="0038640A" w:rsidRDefault="004344E0" w:rsidP="007E4903">
            <w:pPr>
              <w:spacing w:before="120" w:after="120"/>
              <w:rPr>
                <w:rFonts w:ascii="Times New Roman" w:hAnsi="Times New Roman" w:cs="Times New Roman"/>
              </w:rPr>
            </w:pPr>
            <w:r>
              <w:rPr>
                <w:rFonts w:ascii="Times New Roman" w:hAnsi="Times New Roman" w:cs="Times New Roman"/>
              </w:rPr>
              <w:t>9-1</w:t>
            </w:r>
            <w:r w:rsidR="007E4903">
              <w:rPr>
                <w:rFonts w:ascii="Times New Roman" w:hAnsi="Times New Roman" w:cs="Times New Roman"/>
              </w:rPr>
              <w:t xml:space="preserve">3 </w:t>
            </w:r>
            <w:r>
              <w:rPr>
                <w:rFonts w:ascii="Times New Roman" w:hAnsi="Times New Roman" w:cs="Times New Roman"/>
              </w:rPr>
              <w:t xml:space="preserve">March </w:t>
            </w:r>
            <w:r w:rsidRPr="0038640A">
              <w:rPr>
                <w:rFonts w:ascii="Times New Roman" w:hAnsi="Times New Roman" w:cs="Times New Roman"/>
              </w:rPr>
              <w:t>2026</w:t>
            </w:r>
          </w:p>
        </w:tc>
        <w:tc>
          <w:tcPr>
            <w:tcW w:w="2398" w:type="dxa"/>
          </w:tcPr>
          <w:p w14:paraId="395F4966" w14:textId="77777777" w:rsidR="004344E0" w:rsidRPr="0038640A" w:rsidRDefault="004344E0" w:rsidP="007E4903">
            <w:pPr>
              <w:spacing w:before="120" w:after="120"/>
              <w:rPr>
                <w:rFonts w:ascii="Times New Roman" w:hAnsi="Times New Roman" w:cs="Times New Roman"/>
              </w:rPr>
            </w:pPr>
            <w:r w:rsidRPr="0038640A">
              <w:rPr>
                <w:rFonts w:ascii="Times New Roman" w:hAnsi="Times New Roman" w:cs="Times New Roman"/>
              </w:rPr>
              <w:t>BQA Staff, ETPs (Conventional and TVET)</w:t>
            </w:r>
          </w:p>
        </w:tc>
        <w:tc>
          <w:tcPr>
            <w:tcW w:w="3402" w:type="dxa"/>
            <w:vMerge/>
          </w:tcPr>
          <w:p w14:paraId="7DC9C69E" w14:textId="77777777" w:rsidR="004344E0" w:rsidRPr="0038640A" w:rsidRDefault="004344E0" w:rsidP="007E4903">
            <w:pPr>
              <w:spacing w:before="120" w:after="120"/>
              <w:rPr>
                <w:rFonts w:ascii="Times New Roman" w:hAnsi="Times New Roman" w:cs="Times New Roman"/>
              </w:rPr>
            </w:pPr>
          </w:p>
        </w:tc>
        <w:tc>
          <w:tcPr>
            <w:tcW w:w="1701" w:type="dxa"/>
            <w:vMerge/>
          </w:tcPr>
          <w:p w14:paraId="5D96F680" w14:textId="77777777" w:rsidR="004344E0" w:rsidRPr="0038640A" w:rsidRDefault="004344E0" w:rsidP="007E4903">
            <w:pPr>
              <w:spacing w:before="120" w:after="120"/>
              <w:rPr>
                <w:rFonts w:ascii="Times New Roman" w:hAnsi="Times New Roman" w:cs="Times New Roman"/>
              </w:rPr>
            </w:pPr>
          </w:p>
        </w:tc>
      </w:tr>
      <w:tr w:rsidR="004344E0" w:rsidRPr="0038640A" w14:paraId="2F703964" w14:textId="77777777" w:rsidTr="004344E0">
        <w:tc>
          <w:tcPr>
            <w:tcW w:w="330" w:type="dxa"/>
          </w:tcPr>
          <w:p w14:paraId="33F19CA9" w14:textId="77777777" w:rsidR="004344E0" w:rsidRPr="0038640A" w:rsidRDefault="004344E0" w:rsidP="007E4903">
            <w:pPr>
              <w:pStyle w:val="ListParagraph"/>
              <w:numPr>
                <w:ilvl w:val="0"/>
                <w:numId w:val="1"/>
              </w:numPr>
              <w:spacing w:before="120" w:after="120"/>
              <w:contextualSpacing w:val="0"/>
              <w:rPr>
                <w:rFonts w:ascii="Times New Roman" w:hAnsi="Times New Roman" w:cs="Times New Roman"/>
              </w:rPr>
            </w:pPr>
          </w:p>
        </w:tc>
        <w:tc>
          <w:tcPr>
            <w:tcW w:w="1236" w:type="dxa"/>
          </w:tcPr>
          <w:p w14:paraId="5713D676" w14:textId="724F99AA" w:rsidR="004344E0" w:rsidRPr="0038640A" w:rsidRDefault="004344E0" w:rsidP="007E4903">
            <w:pPr>
              <w:spacing w:before="120" w:after="120"/>
              <w:rPr>
                <w:rFonts w:ascii="Times New Roman" w:hAnsi="Times New Roman" w:cs="Times New Roman"/>
              </w:rPr>
            </w:pPr>
            <w:r>
              <w:rPr>
                <w:rFonts w:ascii="Times New Roman" w:hAnsi="Times New Roman" w:cs="Times New Roman"/>
              </w:rPr>
              <w:t>16-</w:t>
            </w:r>
            <w:r w:rsidR="007E4903">
              <w:rPr>
                <w:rFonts w:ascii="Times New Roman" w:hAnsi="Times New Roman" w:cs="Times New Roman"/>
              </w:rPr>
              <w:t>18</w:t>
            </w:r>
            <w:r>
              <w:rPr>
                <w:rFonts w:ascii="Times New Roman" w:hAnsi="Times New Roman" w:cs="Times New Roman"/>
              </w:rPr>
              <w:t xml:space="preserve"> March 2</w:t>
            </w:r>
            <w:r w:rsidRPr="0038640A">
              <w:rPr>
                <w:rFonts w:ascii="Times New Roman" w:hAnsi="Times New Roman" w:cs="Times New Roman"/>
              </w:rPr>
              <w:t>026</w:t>
            </w:r>
          </w:p>
        </w:tc>
        <w:tc>
          <w:tcPr>
            <w:tcW w:w="2398" w:type="dxa"/>
          </w:tcPr>
          <w:p w14:paraId="2F174941" w14:textId="77777777" w:rsidR="004344E0" w:rsidRPr="0038640A" w:rsidRDefault="004344E0" w:rsidP="007E4903">
            <w:pPr>
              <w:spacing w:before="120" w:after="120"/>
              <w:rPr>
                <w:rFonts w:ascii="Times New Roman" w:hAnsi="Times New Roman" w:cs="Times New Roman"/>
              </w:rPr>
            </w:pPr>
            <w:r w:rsidRPr="0038640A">
              <w:rPr>
                <w:rFonts w:ascii="Times New Roman" w:hAnsi="Times New Roman" w:cs="Times New Roman"/>
              </w:rPr>
              <w:t>BQA Staff, ETPs (Conventional and TVET)</w:t>
            </w:r>
          </w:p>
        </w:tc>
        <w:tc>
          <w:tcPr>
            <w:tcW w:w="3402" w:type="dxa"/>
            <w:vMerge/>
          </w:tcPr>
          <w:p w14:paraId="6DB3C244" w14:textId="77777777" w:rsidR="004344E0" w:rsidRPr="0038640A" w:rsidRDefault="004344E0" w:rsidP="007E4903">
            <w:pPr>
              <w:spacing w:before="120" w:after="120"/>
              <w:rPr>
                <w:rFonts w:ascii="Times New Roman" w:hAnsi="Times New Roman" w:cs="Times New Roman"/>
              </w:rPr>
            </w:pPr>
          </w:p>
        </w:tc>
        <w:tc>
          <w:tcPr>
            <w:tcW w:w="1701" w:type="dxa"/>
            <w:vMerge/>
          </w:tcPr>
          <w:p w14:paraId="7A447603" w14:textId="77777777" w:rsidR="004344E0" w:rsidRPr="0038640A" w:rsidRDefault="004344E0" w:rsidP="007E4903">
            <w:pPr>
              <w:spacing w:before="120" w:after="120"/>
              <w:rPr>
                <w:rFonts w:ascii="Times New Roman" w:hAnsi="Times New Roman" w:cs="Times New Roman"/>
              </w:rPr>
            </w:pPr>
          </w:p>
        </w:tc>
      </w:tr>
    </w:tbl>
    <w:p w14:paraId="61A40BEB" w14:textId="77777777" w:rsidR="0059183F" w:rsidRDefault="0059183F">
      <w:pPr>
        <w:rPr>
          <w:rFonts w:ascii="Times New Roman" w:hAnsi="Times New Roman" w:cs="Times New Roman"/>
          <w:b/>
        </w:rPr>
      </w:pPr>
      <w:r>
        <w:rPr>
          <w:rFonts w:ascii="Times New Roman" w:hAnsi="Times New Roman" w:cs="Times New Roman"/>
          <w:b/>
        </w:rPr>
        <w:br w:type="page"/>
      </w:r>
    </w:p>
    <w:p w14:paraId="615EED2F" w14:textId="65C56AEE" w:rsidR="004344E0" w:rsidRPr="0038640A" w:rsidRDefault="004344E0" w:rsidP="007E4903">
      <w:pPr>
        <w:spacing w:before="120" w:after="120" w:line="240" w:lineRule="auto"/>
        <w:jc w:val="center"/>
        <w:rPr>
          <w:rFonts w:ascii="Times New Roman" w:hAnsi="Times New Roman" w:cs="Times New Roman"/>
          <w:b/>
        </w:rPr>
      </w:pPr>
      <w:r>
        <w:rPr>
          <w:rFonts w:ascii="Times New Roman" w:hAnsi="Times New Roman" w:cs="Times New Roman"/>
          <w:b/>
        </w:rPr>
        <w:lastRenderedPageBreak/>
        <w:t>Table 2. Number of Participants to the Workshops</w:t>
      </w:r>
    </w:p>
    <w:p w14:paraId="6B9A7961" w14:textId="655D2C25" w:rsidR="008D3960" w:rsidRDefault="004344E0" w:rsidP="007E4903">
      <w:pPr>
        <w:spacing w:before="120" w:after="120" w:line="240" w:lineRule="auto"/>
        <w:rPr>
          <w:rFonts w:ascii="Times New Roman" w:hAnsi="Times New Roman" w:cs="Times New Roman"/>
        </w:rPr>
      </w:pPr>
      <w:r w:rsidRPr="004344E0">
        <w:rPr>
          <w:rFonts w:ascii="Times New Roman" w:hAnsi="Times New Roman" w:cs="Times New Roman"/>
          <w:noProof/>
        </w:rPr>
        <w:drawing>
          <wp:inline distT="0" distB="0" distL="0" distR="0" wp14:anchorId="42737EA7" wp14:editId="612457FC">
            <wp:extent cx="5731510" cy="2784475"/>
            <wp:effectExtent l="0" t="0" r="0" b="0"/>
            <wp:docPr id="1724599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599749" name=""/>
                    <pic:cNvPicPr/>
                  </pic:nvPicPr>
                  <pic:blipFill>
                    <a:blip r:embed="rId5"/>
                    <a:stretch>
                      <a:fillRect/>
                    </a:stretch>
                  </pic:blipFill>
                  <pic:spPr>
                    <a:xfrm>
                      <a:off x="0" y="0"/>
                      <a:ext cx="5731510" cy="2784475"/>
                    </a:xfrm>
                    <a:prstGeom prst="rect">
                      <a:avLst/>
                    </a:prstGeom>
                  </pic:spPr>
                </pic:pic>
              </a:graphicData>
            </a:graphic>
          </wp:inline>
        </w:drawing>
      </w:r>
    </w:p>
    <w:p w14:paraId="79E75279" w14:textId="73B8E913" w:rsidR="00A06C2D" w:rsidRDefault="00A06C2D" w:rsidP="007E4903">
      <w:pPr>
        <w:spacing w:before="120" w:after="120" w:line="240" w:lineRule="auto"/>
        <w:rPr>
          <w:rFonts w:ascii="Times New Roman" w:hAnsi="Times New Roman" w:cs="Times New Roman"/>
        </w:rPr>
      </w:pPr>
      <w:r>
        <w:rPr>
          <w:rFonts w:ascii="Times New Roman" w:hAnsi="Times New Roman" w:cs="Times New Roman"/>
        </w:rPr>
        <w:t xml:space="preserve">And </w:t>
      </w:r>
      <w:r w:rsidR="007E4903">
        <w:rPr>
          <w:rFonts w:ascii="Times New Roman" w:hAnsi="Times New Roman" w:cs="Times New Roman"/>
        </w:rPr>
        <w:t>for the last session, 16-18 March: 23 attendees + 7 BQA staff</w:t>
      </w:r>
    </w:p>
    <w:p w14:paraId="3D5EB7AF" w14:textId="77777777" w:rsidR="00A06C2D" w:rsidRDefault="00A06C2D" w:rsidP="007E4903">
      <w:pPr>
        <w:spacing w:before="120" w:after="120" w:line="240" w:lineRule="auto"/>
        <w:rPr>
          <w:rFonts w:ascii="Times New Roman" w:hAnsi="Times New Roman" w:cs="Times New Roman"/>
        </w:rPr>
      </w:pPr>
    </w:p>
    <w:p w14:paraId="1E8766BD" w14:textId="48848368" w:rsidR="007E4903" w:rsidRPr="0038640A" w:rsidRDefault="0059183F" w:rsidP="007E4903">
      <w:pPr>
        <w:spacing w:before="120" w:after="120" w:line="240" w:lineRule="auto"/>
        <w:rPr>
          <w:rFonts w:ascii="Times New Roman" w:hAnsi="Times New Roman" w:cs="Times New Roman"/>
        </w:rPr>
      </w:pPr>
      <w:r>
        <w:rPr>
          <w:rFonts w:ascii="Times New Roman" w:hAnsi="Times New Roman" w:cs="Times New Roman"/>
        </w:rPr>
        <w:t>In addition to the slides decks and the recommendations for the breakaway sessions, t</w:t>
      </w:r>
      <w:r w:rsidR="007E4903">
        <w:rPr>
          <w:rFonts w:ascii="Times New Roman" w:hAnsi="Times New Roman" w:cs="Times New Roman"/>
        </w:rPr>
        <w:t>he conclusions of the different groups involved in the breakaway sessions are also appended to this report.</w:t>
      </w:r>
    </w:p>
    <w:sectPr w:rsidR="007E4903" w:rsidRPr="0038640A" w:rsidSect="0038640A">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F4530"/>
    <w:multiLevelType w:val="hybridMultilevel"/>
    <w:tmpl w:val="1E368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876AAA"/>
    <w:multiLevelType w:val="hybridMultilevel"/>
    <w:tmpl w:val="BB2C07A8"/>
    <w:lvl w:ilvl="0" w:tplc="EA52DF2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F01E12"/>
    <w:multiLevelType w:val="hybridMultilevel"/>
    <w:tmpl w:val="AFFE38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7516798">
    <w:abstractNumId w:val="2"/>
  </w:num>
  <w:num w:numId="2" w16cid:durableId="90207381">
    <w:abstractNumId w:val="0"/>
  </w:num>
  <w:num w:numId="3" w16cid:durableId="507908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960"/>
    <w:rsid w:val="00032E71"/>
    <w:rsid w:val="000F1C97"/>
    <w:rsid w:val="00121EF0"/>
    <w:rsid w:val="00147B2A"/>
    <w:rsid w:val="0018746A"/>
    <w:rsid w:val="00194A0C"/>
    <w:rsid w:val="00334A6F"/>
    <w:rsid w:val="00367CDA"/>
    <w:rsid w:val="0038640A"/>
    <w:rsid w:val="003F40EF"/>
    <w:rsid w:val="004344E0"/>
    <w:rsid w:val="00515CF5"/>
    <w:rsid w:val="0056400A"/>
    <w:rsid w:val="0059183F"/>
    <w:rsid w:val="006E620F"/>
    <w:rsid w:val="0078687C"/>
    <w:rsid w:val="007E4903"/>
    <w:rsid w:val="00831F14"/>
    <w:rsid w:val="008D3960"/>
    <w:rsid w:val="00920861"/>
    <w:rsid w:val="00977BC5"/>
    <w:rsid w:val="00A06C2D"/>
    <w:rsid w:val="00A70852"/>
    <w:rsid w:val="00A73FFC"/>
    <w:rsid w:val="00B85AE3"/>
    <w:rsid w:val="00B977E7"/>
    <w:rsid w:val="00C156A4"/>
    <w:rsid w:val="00D25372"/>
    <w:rsid w:val="00FC6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8318"/>
  <w15:chartTrackingRefBased/>
  <w15:docId w15:val="{F6C63183-9EB7-47AD-929D-07B7D4F1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3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203B17F16D040A1E444A021DFF119" ma:contentTypeVersion="13" ma:contentTypeDescription="Create a new document." ma:contentTypeScope="" ma:versionID="cc17463928f62ac6b500ec925c92e8d1">
  <xsd:schema xmlns:xsd="http://www.w3.org/2001/XMLSchema" xmlns:xs="http://www.w3.org/2001/XMLSchema" xmlns:p="http://schemas.microsoft.com/office/2006/metadata/properties" xmlns:ns2="05ef24fd-2dda-45b0-83fd-a9e6f5cd7406" xmlns:ns3="9cf1f23c-94c0-4dcc-a7fa-999e323c9245" targetNamespace="http://schemas.microsoft.com/office/2006/metadata/properties" ma:root="true" ma:fieldsID="05921d15376b1b1f397b924ddace88f1" ns2:_="" ns3:_="">
    <xsd:import namespace="05ef24fd-2dda-45b0-83fd-a9e6f5cd7406"/>
    <xsd:import namespace="9cf1f23c-94c0-4dcc-a7fa-999e323c92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f24fd-2dda-45b0-83fd-a9e6f5cd7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0ffe1f-c839-4a66-9ae8-9a2945e491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1f23c-94c0-4dcc-a7fa-999e323c92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3438c5-9aa0-4ee5-85a2-9e811049bc4c}" ma:internalName="TaxCatchAll" ma:showField="CatchAllData" ma:web="9cf1f23c-94c0-4dcc-a7fa-999e323c9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ef24fd-2dda-45b0-83fd-a9e6f5cd7406">
      <Terms xmlns="http://schemas.microsoft.com/office/infopath/2007/PartnerControls"/>
    </lcf76f155ced4ddcb4097134ff3c332f>
    <TaxCatchAll xmlns="9cf1f23c-94c0-4dcc-a7fa-999e323c9245" xsi:nil="true"/>
  </documentManagement>
</p:properties>
</file>

<file path=customXml/itemProps1.xml><?xml version="1.0" encoding="utf-8"?>
<ds:datastoreItem xmlns:ds="http://schemas.openxmlformats.org/officeDocument/2006/customXml" ds:itemID="{406D3583-60AE-4D7A-ABF2-37E6891BEAF9}"/>
</file>

<file path=customXml/itemProps2.xml><?xml version="1.0" encoding="utf-8"?>
<ds:datastoreItem xmlns:ds="http://schemas.openxmlformats.org/officeDocument/2006/customXml" ds:itemID="{B8228CE3-A820-411B-AD0B-02C648567D5D}"/>
</file>

<file path=customXml/itemProps3.xml><?xml version="1.0" encoding="utf-8"?>
<ds:datastoreItem xmlns:ds="http://schemas.openxmlformats.org/officeDocument/2006/customXml" ds:itemID="{2B5419E4-F6E3-4B52-A502-ABA7B5A2892E}"/>
</file>

<file path=docProps/app.xml><?xml version="1.0" encoding="utf-8"?>
<Properties xmlns="http://schemas.openxmlformats.org/officeDocument/2006/extended-properties" xmlns:vt="http://schemas.openxmlformats.org/officeDocument/2006/docPropsVTypes">
  <Template>Normal.dotm</Template>
  <TotalTime>132</TotalTime>
  <Pages>3</Pages>
  <Words>857</Words>
  <Characters>4870</Characters>
  <Application>Microsoft Office Word</Application>
  <DocSecurity>0</DocSecurity>
  <Lines>143</Lines>
  <Paragraphs>54</Paragraphs>
  <ScaleCrop>false</ScaleCrop>
  <HeadingPairs>
    <vt:vector size="2" baseType="variant">
      <vt:variant>
        <vt:lpstr>Title</vt:lpstr>
      </vt:variant>
      <vt:variant>
        <vt:i4>1</vt:i4>
      </vt:variant>
    </vt:vector>
  </HeadingPairs>
  <TitlesOfParts>
    <vt:vector size="1" baseType="lpstr">
      <vt:lpstr/>
    </vt:vector>
  </TitlesOfParts>
  <Manager>Patrick Werquin</Manager>
  <Company>SAS Initial(es) Consulting</Company>
  <LinksUpToDate>false</LinksUpToDate>
  <CharactersWithSpaces>5673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BQA</dc:title>
  <dc:subject>CB</dc:subject>
  <dc:creator>Patrick Werquin</dc:creator>
  <cp:keywords>patrick.werquin@gmail.com</cp:keywords>
  <dc:description/>
  <cp:lastModifiedBy>WERQUIN Patrick</cp:lastModifiedBy>
  <cp:revision>18</cp:revision>
  <dcterms:created xsi:type="dcterms:W3CDTF">2026-03-19T14:13:00Z</dcterms:created>
  <dcterms:modified xsi:type="dcterms:W3CDTF">2026-04-01T20:49:00Z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0x0101009B2203B17F16D040A1E444A021DFF119</vt:lpwstr>
  </property>
  <property fmtid="{D5CDD505-2E9C-101B-9397-08002B2CF9AE}" pid="4" name="docLang">
    <vt:lpwstr>en</vt:lpwstr>
  </property>
  <property fmtid="{D5CDD505-2E9C-101B-9397-08002B2CF9AE}" pid="5" name="MediaServiceImageTags">
    <vt:lpwstr/>
  </property>
</Properties>
</file>